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38" w:rsidRDefault="0059198A">
      <w:pPr>
        <w:tabs>
          <w:tab w:val="left" w:pos="8411"/>
        </w:tabs>
        <w:ind w:left="520"/>
        <w:rPr>
          <w:sz w:val="20"/>
        </w:rPr>
      </w:pPr>
      <w:bookmarkStart w:id="0" w:name="_GoBack"/>
      <w:bookmarkEnd w:id="0"/>
      <w:r>
        <w:rPr>
          <w:noProof/>
          <w:position w:val="2"/>
          <w:sz w:val="20"/>
        </w:rPr>
        <w:drawing>
          <wp:inline distT="0" distB="0" distL="0" distR="0">
            <wp:extent cx="1731640" cy="515493"/>
            <wp:effectExtent l="0" t="0" r="0" b="0"/>
            <wp:docPr id="1" name="image1.jpeg" descr="U.S. Customs and Border Protection Seal &am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31640" cy="515493"/>
                    </a:xfrm>
                    <a:prstGeom prst="rect">
                      <a:avLst/>
                    </a:prstGeom>
                  </pic:spPr>
                </pic:pic>
              </a:graphicData>
            </a:graphic>
          </wp:inline>
        </w:drawing>
      </w:r>
      <w:r>
        <w:rPr>
          <w:position w:val="2"/>
          <w:sz w:val="20"/>
        </w:rPr>
        <w:tab/>
      </w:r>
      <w:r>
        <w:rPr>
          <w:noProof/>
          <w:sz w:val="20"/>
        </w:rPr>
        <w:drawing>
          <wp:inline distT="0" distB="0" distL="0" distR="0">
            <wp:extent cx="696057" cy="536067"/>
            <wp:effectExtent l="0" t="0" r="0" b="0"/>
            <wp:docPr id="3" name="image2.jpeg" descr="US Army Corps of Engine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96057" cy="536067"/>
                    </a:xfrm>
                    <a:prstGeom prst="rect">
                      <a:avLst/>
                    </a:prstGeom>
                  </pic:spPr>
                </pic:pic>
              </a:graphicData>
            </a:graphic>
          </wp:inline>
        </w:drawing>
      </w:r>
    </w:p>
    <w:p w:rsidR="00A66038" w:rsidRDefault="00A66038">
      <w:pPr>
        <w:pStyle w:val="BodyText"/>
        <w:spacing w:before="7"/>
        <w:rPr>
          <w:sz w:val="15"/>
        </w:rPr>
      </w:pPr>
    </w:p>
    <w:p w:rsidR="00A66038" w:rsidRDefault="0059198A">
      <w:pPr>
        <w:pStyle w:val="Heading1"/>
        <w:spacing w:before="90" w:line="240" w:lineRule="auto"/>
        <w:ind w:left="1224" w:right="1226" w:firstLine="0"/>
        <w:jc w:val="center"/>
      </w:pPr>
      <w:r>
        <w:t>Border Wall Status – October 9, 2020</w:t>
      </w:r>
    </w:p>
    <w:p w:rsidR="00A66038" w:rsidRDefault="00A66038">
      <w:pPr>
        <w:pStyle w:val="BodyText"/>
        <w:rPr>
          <w:b/>
        </w:rPr>
      </w:pPr>
    </w:p>
    <w:p w:rsidR="00A66038" w:rsidRDefault="0059198A">
      <w:pPr>
        <w:ind w:left="340"/>
        <w:rPr>
          <w:b/>
          <w:sz w:val="24"/>
        </w:rPr>
      </w:pPr>
      <w:r>
        <w:rPr>
          <w:b/>
          <w:sz w:val="24"/>
          <w:u w:val="thick"/>
        </w:rPr>
        <w:t>Current State of the Border</w:t>
      </w:r>
    </w:p>
    <w:p w:rsidR="00A66038" w:rsidRDefault="0059198A">
      <w:pPr>
        <w:pStyle w:val="ListParagraph"/>
        <w:numPr>
          <w:ilvl w:val="0"/>
          <w:numId w:val="1"/>
        </w:numPr>
        <w:tabs>
          <w:tab w:val="left" w:pos="699"/>
          <w:tab w:val="left" w:pos="700"/>
        </w:tabs>
        <w:spacing w:before="55"/>
        <w:ind w:right="822"/>
        <w:rPr>
          <w:sz w:val="24"/>
        </w:rPr>
      </w:pPr>
      <w:r>
        <w:rPr>
          <w:sz w:val="24"/>
        </w:rPr>
        <w:t>U.S. Customs and Border Protection (CBP) has ~</w:t>
      </w:r>
      <w:r>
        <w:rPr>
          <w:b/>
          <w:sz w:val="24"/>
        </w:rPr>
        <w:t xml:space="preserve">669 </w:t>
      </w:r>
      <w:r>
        <w:rPr>
          <w:sz w:val="24"/>
        </w:rPr>
        <w:t>miles of primary barriers and ~</w:t>
      </w:r>
      <w:r>
        <w:rPr>
          <w:b/>
          <w:sz w:val="24"/>
        </w:rPr>
        <w:t xml:space="preserve">65 </w:t>
      </w:r>
      <w:r>
        <w:rPr>
          <w:sz w:val="24"/>
        </w:rPr>
        <w:t>miles</w:t>
      </w:r>
      <w:r>
        <w:rPr>
          <w:spacing w:val="-23"/>
          <w:sz w:val="24"/>
        </w:rPr>
        <w:t xml:space="preserve"> </w:t>
      </w:r>
      <w:r>
        <w:rPr>
          <w:sz w:val="24"/>
        </w:rPr>
        <w:t>of secondary barriers on the southwest</w:t>
      </w:r>
      <w:r>
        <w:rPr>
          <w:spacing w:val="-5"/>
          <w:sz w:val="24"/>
        </w:rPr>
        <w:t xml:space="preserve"> </w:t>
      </w:r>
      <w:r>
        <w:rPr>
          <w:sz w:val="24"/>
        </w:rPr>
        <w:t>border:</w:t>
      </w:r>
    </w:p>
    <w:p w:rsidR="00A66038" w:rsidRDefault="0059198A">
      <w:pPr>
        <w:pStyle w:val="ListParagraph"/>
        <w:numPr>
          <w:ilvl w:val="1"/>
          <w:numId w:val="1"/>
        </w:numPr>
        <w:tabs>
          <w:tab w:val="left" w:pos="1420"/>
        </w:tabs>
        <w:spacing w:before="14" w:line="223" w:lineRule="auto"/>
        <w:ind w:right="583"/>
        <w:rPr>
          <w:sz w:val="24"/>
        </w:rPr>
      </w:pPr>
      <w:r>
        <w:rPr>
          <w:b/>
          <w:sz w:val="24"/>
        </w:rPr>
        <w:t xml:space="preserve">~224 </w:t>
      </w:r>
      <w:r>
        <w:rPr>
          <w:sz w:val="24"/>
        </w:rPr>
        <w:t>miles of pedestrian fencing</w:t>
      </w:r>
      <w:r>
        <w:rPr>
          <w:b/>
          <w:sz w:val="24"/>
        </w:rPr>
        <w:t xml:space="preserve">, ~132 </w:t>
      </w:r>
      <w:r>
        <w:rPr>
          <w:sz w:val="24"/>
        </w:rPr>
        <w:t xml:space="preserve">miles of vehicle barrier and </w:t>
      </w:r>
      <w:r>
        <w:rPr>
          <w:b/>
          <w:sz w:val="24"/>
        </w:rPr>
        <w:t xml:space="preserve">~17 </w:t>
      </w:r>
      <w:r>
        <w:rPr>
          <w:sz w:val="24"/>
        </w:rPr>
        <w:t xml:space="preserve">miles of secondary fencing constructed </w:t>
      </w:r>
      <w:r>
        <w:rPr>
          <w:i/>
          <w:sz w:val="24"/>
          <w:u w:val="single"/>
        </w:rPr>
        <w:t>prior to</w:t>
      </w:r>
      <w:r>
        <w:rPr>
          <w:i/>
          <w:sz w:val="24"/>
        </w:rPr>
        <w:t xml:space="preserve"> </w:t>
      </w:r>
      <w:r>
        <w:rPr>
          <w:sz w:val="24"/>
        </w:rPr>
        <w:t>January</w:t>
      </w:r>
      <w:r>
        <w:rPr>
          <w:spacing w:val="-9"/>
          <w:sz w:val="24"/>
        </w:rPr>
        <w:t xml:space="preserve"> </w:t>
      </w:r>
      <w:r>
        <w:rPr>
          <w:sz w:val="24"/>
        </w:rPr>
        <w:t>2017;</w:t>
      </w:r>
    </w:p>
    <w:p w:rsidR="00A66038" w:rsidRDefault="0059198A">
      <w:pPr>
        <w:pStyle w:val="ListParagraph"/>
        <w:numPr>
          <w:ilvl w:val="1"/>
          <w:numId w:val="1"/>
        </w:numPr>
        <w:tabs>
          <w:tab w:val="left" w:pos="1420"/>
        </w:tabs>
        <w:spacing w:before="64" w:line="286" w:lineRule="exact"/>
        <w:rPr>
          <w:sz w:val="24"/>
        </w:rPr>
      </w:pPr>
      <w:r>
        <w:rPr>
          <w:b/>
          <w:sz w:val="24"/>
        </w:rPr>
        <w:t xml:space="preserve">~312 </w:t>
      </w:r>
      <w:r>
        <w:rPr>
          <w:sz w:val="24"/>
        </w:rPr>
        <w:t xml:space="preserve">miles of new primary and </w:t>
      </w:r>
      <w:r>
        <w:rPr>
          <w:b/>
          <w:sz w:val="24"/>
        </w:rPr>
        <w:t xml:space="preserve">~48 </w:t>
      </w:r>
      <w:r>
        <w:rPr>
          <w:sz w:val="24"/>
        </w:rPr>
        <w:t>miles of new secondary border wall system</w:t>
      </w:r>
      <w:r>
        <w:rPr>
          <w:spacing w:val="-15"/>
          <w:sz w:val="24"/>
        </w:rPr>
        <w:t xml:space="preserve"> </w:t>
      </w:r>
      <w:r>
        <w:rPr>
          <w:sz w:val="24"/>
        </w:rPr>
        <w:t>constructed</w:t>
      </w:r>
    </w:p>
    <w:p w:rsidR="00A66038" w:rsidRDefault="0059198A">
      <w:pPr>
        <w:spacing w:line="266" w:lineRule="exact"/>
        <w:ind w:left="1420"/>
        <w:rPr>
          <w:sz w:val="24"/>
        </w:rPr>
      </w:pPr>
      <w:proofErr w:type="gramStart"/>
      <w:r>
        <w:rPr>
          <w:i/>
          <w:sz w:val="24"/>
          <w:u w:val="single"/>
        </w:rPr>
        <w:t>since</w:t>
      </w:r>
      <w:proofErr w:type="gramEnd"/>
      <w:r>
        <w:rPr>
          <w:i/>
          <w:sz w:val="24"/>
        </w:rPr>
        <w:t xml:space="preserve"> </w:t>
      </w:r>
      <w:r>
        <w:rPr>
          <w:sz w:val="24"/>
        </w:rPr>
        <w:t>January 2017.</w:t>
      </w:r>
    </w:p>
    <w:p w:rsidR="00A66038" w:rsidRDefault="0059198A">
      <w:pPr>
        <w:pStyle w:val="Heading1"/>
        <w:spacing w:before="125" w:line="240" w:lineRule="auto"/>
        <w:ind w:left="340" w:firstLine="0"/>
      </w:pPr>
      <w:r>
        <w:rPr>
          <w:u w:val="thick"/>
        </w:rPr>
        <w:t>Overview of Progress- ~$15 billion (~738 total miles)</w:t>
      </w:r>
    </w:p>
    <w:p w:rsidR="00A66038" w:rsidRDefault="0059198A">
      <w:pPr>
        <w:pStyle w:val="ListParagraph"/>
        <w:numPr>
          <w:ilvl w:val="0"/>
          <w:numId w:val="1"/>
        </w:numPr>
        <w:tabs>
          <w:tab w:val="left" w:pos="699"/>
          <w:tab w:val="left" w:pos="700"/>
        </w:tabs>
        <w:spacing w:before="55"/>
        <w:ind w:right="821"/>
        <w:rPr>
          <w:sz w:val="24"/>
        </w:rPr>
      </w:pPr>
      <w:r>
        <w:rPr>
          <w:sz w:val="24"/>
        </w:rPr>
        <w:t xml:space="preserve">Since January 2017, ~$15 billion has been identified to construct </w:t>
      </w:r>
      <w:r>
        <w:rPr>
          <w:b/>
          <w:sz w:val="24"/>
        </w:rPr>
        <w:t xml:space="preserve">~738 </w:t>
      </w:r>
      <w:r>
        <w:rPr>
          <w:sz w:val="24"/>
        </w:rPr>
        <w:t>miles of new border</w:t>
      </w:r>
      <w:r>
        <w:rPr>
          <w:spacing w:val="-20"/>
          <w:sz w:val="24"/>
        </w:rPr>
        <w:t xml:space="preserve"> </w:t>
      </w:r>
      <w:r>
        <w:rPr>
          <w:sz w:val="24"/>
        </w:rPr>
        <w:t>wall system through a combination of Department of Homeland Security (DHS) and Department of Defense (</w:t>
      </w:r>
      <w:proofErr w:type="gramStart"/>
      <w:r>
        <w:rPr>
          <w:sz w:val="24"/>
        </w:rPr>
        <w:t>DoD</w:t>
      </w:r>
      <w:proofErr w:type="gramEnd"/>
      <w:r>
        <w:rPr>
          <w:sz w:val="24"/>
        </w:rPr>
        <w:t>) funding and the Treasury Forfeiture Fund (TFF). Funding r</w:t>
      </w:r>
      <w:r>
        <w:rPr>
          <w:sz w:val="24"/>
        </w:rPr>
        <w:t>eceived supports planning, design, real estate, environmental, construction and oversight</w:t>
      </w:r>
      <w:r>
        <w:rPr>
          <w:spacing w:val="-4"/>
          <w:sz w:val="24"/>
        </w:rPr>
        <w:t xml:space="preserve"> </w:t>
      </w:r>
      <w:r>
        <w:rPr>
          <w:sz w:val="24"/>
        </w:rPr>
        <w:t>activities.</w:t>
      </w:r>
    </w:p>
    <w:p w:rsidR="00A66038" w:rsidRDefault="0059198A">
      <w:pPr>
        <w:pStyle w:val="ListParagraph"/>
        <w:numPr>
          <w:ilvl w:val="1"/>
          <w:numId w:val="1"/>
        </w:numPr>
        <w:tabs>
          <w:tab w:val="left" w:pos="1420"/>
        </w:tabs>
        <w:spacing w:before="63" w:line="235" w:lineRule="auto"/>
        <w:ind w:right="345"/>
        <w:rPr>
          <w:sz w:val="24"/>
        </w:rPr>
      </w:pPr>
      <w:r>
        <w:rPr>
          <w:b/>
          <w:sz w:val="24"/>
        </w:rPr>
        <w:t xml:space="preserve">~360 </w:t>
      </w:r>
      <w:r>
        <w:rPr>
          <w:sz w:val="24"/>
        </w:rPr>
        <w:t>miles of new primary and secondary border wall system have been constructed, in</w:t>
      </w:r>
      <w:r>
        <w:rPr>
          <w:spacing w:val="-21"/>
          <w:sz w:val="24"/>
        </w:rPr>
        <w:t xml:space="preserve"> </w:t>
      </w:r>
      <w:r>
        <w:rPr>
          <w:sz w:val="24"/>
        </w:rPr>
        <w:t>place of dilapidated and outdated designs and in locations where no barriers previously existed, within the U.S. Border Patrol’s (USBP) San Diego, El Centro, Yuma, Tucson, El Paso and Rio Grande Valley (RGV)</w:t>
      </w:r>
      <w:r>
        <w:rPr>
          <w:spacing w:val="-6"/>
          <w:sz w:val="24"/>
        </w:rPr>
        <w:t xml:space="preserve"> </w:t>
      </w:r>
      <w:r>
        <w:rPr>
          <w:sz w:val="24"/>
        </w:rPr>
        <w:t>Sectors.</w:t>
      </w:r>
    </w:p>
    <w:p w:rsidR="00A66038" w:rsidRDefault="0059198A">
      <w:pPr>
        <w:pStyle w:val="ListParagraph"/>
        <w:numPr>
          <w:ilvl w:val="1"/>
          <w:numId w:val="1"/>
        </w:numPr>
        <w:tabs>
          <w:tab w:val="left" w:pos="1420"/>
        </w:tabs>
        <w:spacing w:before="66" w:line="230" w:lineRule="auto"/>
        <w:ind w:right="408"/>
        <w:rPr>
          <w:sz w:val="24"/>
        </w:rPr>
      </w:pPr>
      <w:r>
        <w:rPr>
          <w:b/>
          <w:sz w:val="24"/>
        </w:rPr>
        <w:t xml:space="preserve">~221 </w:t>
      </w:r>
      <w:r>
        <w:rPr>
          <w:sz w:val="24"/>
        </w:rPr>
        <w:t>miles of new primary and secondary</w:t>
      </w:r>
      <w:r>
        <w:rPr>
          <w:sz w:val="24"/>
        </w:rPr>
        <w:t xml:space="preserve"> border wall system are under construction, in place of dilapidated and outdated designs and in locations where no barriers previously existed, within the San Diego, El Centro, Yuma, Tucson, El Paso, Del Rio and RGV</w:t>
      </w:r>
      <w:r>
        <w:rPr>
          <w:spacing w:val="-22"/>
          <w:sz w:val="24"/>
        </w:rPr>
        <w:t xml:space="preserve"> </w:t>
      </w:r>
      <w:r>
        <w:rPr>
          <w:sz w:val="24"/>
        </w:rPr>
        <w:t>Sectors.</w:t>
      </w:r>
    </w:p>
    <w:p w:rsidR="00A66038" w:rsidRDefault="0059198A">
      <w:pPr>
        <w:pStyle w:val="ListParagraph"/>
        <w:numPr>
          <w:ilvl w:val="1"/>
          <w:numId w:val="1"/>
        </w:numPr>
        <w:tabs>
          <w:tab w:val="left" w:pos="1420"/>
        </w:tabs>
        <w:spacing w:before="79" w:line="223" w:lineRule="auto"/>
        <w:ind w:left="1419" w:right="753"/>
        <w:rPr>
          <w:sz w:val="24"/>
        </w:rPr>
      </w:pPr>
      <w:r>
        <w:rPr>
          <w:b/>
          <w:sz w:val="24"/>
        </w:rPr>
        <w:t xml:space="preserve">~157 </w:t>
      </w:r>
      <w:r>
        <w:rPr>
          <w:sz w:val="24"/>
        </w:rPr>
        <w:t>miles of new primary and s</w:t>
      </w:r>
      <w:r>
        <w:rPr>
          <w:sz w:val="24"/>
        </w:rPr>
        <w:t>econdary border wall system are in the pre-construction phase, in locations where no barriers currently exist, within the Laredo and RGV</w:t>
      </w:r>
      <w:r>
        <w:rPr>
          <w:spacing w:val="-19"/>
          <w:sz w:val="24"/>
        </w:rPr>
        <w:t xml:space="preserve"> </w:t>
      </w:r>
      <w:r>
        <w:rPr>
          <w:sz w:val="24"/>
        </w:rPr>
        <w:t>Sectors.</w:t>
      </w:r>
    </w:p>
    <w:p w:rsidR="00A66038" w:rsidRDefault="00A66038">
      <w:pPr>
        <w:pStyle w:val="BodyText"/>
        <w:spacing w:before="3"/>
        <w:rPr>
          <w:sz w:val="25"/>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2146"/>
        <w:gridCol w:w="2076"/>
        <w:gridCol w:w="2335"/>
        <w:gridCol w:w="1620"/>
      </w:tblGrid>
      <w:tr w:rsidR="00A66038">
        <w:trPr>
          <w:trHeight w:val="551"/>
        </w:trPr>
        <w:tc>
          <w:tcPr>
            <w:tcW w:w="2350" w:type="dxa"/>
          </w:tcPr>
          <w:p w:rsidR="00A66038" w:rsidRDefault="0059198A">
            <w:pPr>
              <w:pStyle w:val="TableParagraph"/>
              <w:spacing w:before="135"/>
              <w:ind w:left="187" w:right="179"/>
              <w:jc w:val="center"/>
              <w:rPr>
                <w:b/>
                <w:sz w:val="24"/>
              </w:rPr>
            </w:pPr>
            <w:r>
              <w:rPr>
                <w:b/>
                <w:sz w:val="24"/>
              </w:rPr>
              <w:t>New Primary Wall</w:t>
            </w:r>
          </w:p>
        </w:tc>
        <w:tc>
          <w:tcPr>
            <w:tcW w:w="2146" w:type="dxa"/>
          </w:tcPr>
          <w:p w:rsidR="00A66038" w:rsidRDefault="0059198A">
            <w:pPr>
              <w:pStyle w:val="TableParagraph"/>
              <w:spacing w:before="2" w:line="276" w:lineRule="exact"/>
              <w:ind w:left="824" w:right="248" w:hanging="550"/>
              <w:rPr>
                <w:b/>
                <w:sz w:val="24"/>
              </w:rPr>
            </w:pPr>
            <w:r>
              <w:rPr>
                <w:b/>
                <w:sz w:val="24"/>
              </w:rPr>
              <w:t>New Secondary Wall</w:t>
            </w:r>
          </w:p>
        </w:tc>
        <w:tc>
          <w:tcPr>
            <w:tcW w:w="2076" w:type="dxa"/>
          </w:tcPr>
          <w:p w:rsidR="00A66038" w:rsidRDefault="0059198A">
            <w:pPr>
              <w:pStyle w:val="TableParagraph"/>
              <w:spacing w:before="2" w:line="276" w:lineRule="exact"/>
              <w:ind w:left="788" w:right="320" w:hanging="442"/>
              <w:rPr>
                <w:b/>
                <w:sz w:val="24"/>
              </w:rPr>
            </w:pPr>
            <w:r>
              <w:rPr>
                <w:b/>
                <w:sz w:val="24"/>
              </w:rPr>
              <w:t>New Primary Wall</w:t>
            </w:r>
          </w:p>
        </w:tc>
        <w:tc>
          <w:tcPr>
            <w:tcW w:w="2335" w:type="dxa"/>
          </w:tcPr>
          <w:p w:rsidR="00A66038" w:rsidRDefault="0059198A">
            <w:pPr>
              <w:pStyle w:val="TableParagraph"/>
              <w:spacing w:before="2" w:line="276" w:lineRule="exact"/>
              <w:ind w:left="918" w:right="343" w:hanging="550"/>
              <w:rPr>
                <w:b/>
                <w:sz w:val="24"/>
              </w:rPr>
            </w:pPr>
            <w:r>
              <w:rPr>
                <w:b/>
                <w:sz w:val="24"/>
              </w:rPr>
              <w:t>New Secondary Wall</w:t>
            </w:r>
          </w:p>
        </w:tc>
        <w:tc>
          <w:tcPr>
            <w:tcW w:w="1620" w:type="dxa"/>
            <w:vMerge w:val="restart"/>
          </w:tcPr>
          <w:p w:rsidR="00A66038" w:rsidRDefault="00A66038">
            <w:pPr>
              <w:pStyle w:val="TableParagraph"/>
              <w:spacing w:before="4"/>
              <w:ind w:left="0"/>
              <w:rPr>
                <w:sz w:val="36"/>
              </w:rPr>
            </w:pPr>
          </w:p>
          <w:p w:rsidR="00A66038" w:rsidRDefault="0059198A">
            <w:pPr>
              <w:pStyle w:val="TableParagraph"/>
              <w:spacing w:before="1"/>
              <w:ind w:left="534"/>
              <w:rPr>
                <w:b/>
                <w:sz w:val="24"/>
              </w:rPr>
            </w:pPr>
            <w:r>
              <w:rPr>
                <w:b/>
                <w:sz w:val="24"/>
              </w:rPr>
              <w:t>Total</w:t>
            </w:r>
          </w:p>
        </w:tc>
      </w:tr>
      <w:tr w:rsidR="00A66038">
        <w:trPr>
          <w:trHeight w:val="549"/>
        </w:trPr>
        <w:tc>
          <w:tcPr>
            <w:tcW w:w="4496" w:type="dxa"/>
            <w:gridSpan w:val="2"/>
          </w:tcPr>
          <w:p w:rsidR="00A66038" w:rsidRDefault="0059198A">
            <w:pPr>
              <w:pStyle w:val="TableParagraph"/>
              <w:spacing w:line="268" w:lineRule="exact"/>
              <w:ind w:left="337" w:right="329"/>
              <w:jc w:val="center"/>
              <w:rPr>
                <w:i/>
                <w:sz w:val="24"/>
              </w:rPr>
            </w:pPr>
            <w:r>
              <w:rPr>
                <w:i/>
                <w:sz w:val="24"/>
              </w:rPr>
              <w:t>In place of dilapidated and/or outdated</w:t>
            </w:r>
          </w:p>
          <w:p w:rsidR="00A66038" w:rsidRDefault="0059198A">
            <w:pPr>
              <w:pStyle w:val="TableParagraph"/>
              <w:spacing w:line="261" w:lineRule="exact"/>
              <w:ind w:left="335" w:right="329"/>
              <w:jc w:val="center"/>
              <w:rPr>
                <w:i/>
                <w:sz w:val="24"/>
              </w:rPr>
            </w:pPr>
            <w:r>
              <w:rPr>
                <w:i/>
                <w:sz w:val="24"/>
              </w:rPr>
              <w:t>designs</w:t>
            </w:r>
          </w:p>
        </w:tc>
        <w:tc>
          <w:tcPr>
            <w:tcW w:w="4411" w:type="dxa"/>
            <w:gridSpan w:val="2"/>
          </w:tcPr>
          <w:p w:rsidR="00A66038" w:rsidRDefault="0059198A">
            <w:pPr>
              <w:pStyle w:val="TableParagraph"/>
              <w:spacing w:line="268" w:lineRule="exact"/>
              <w:ind w:left="187" w:right="181"/>
              <w:jc w:val="center"/>
              <w:rPr>
                <w:i/>
                <w:sz w:val="24"/>
              </w:rPr>
            </w:pPr>
            <w:r>
              <w:rPr>
                <w:i/>
                <w:sz w:val="24"/>
              </w:rPr>
              <w:t>In locations where no barriers previously</w:t>
            </w:r>
          </w:p>
          <w:p w:rsidR="00A66038" w:rsidRDefault="0059198A">
            <w:pPr>
              <w:pStyle w:val="TableParagraph"/>
              <w:spacing w:line="261" w:lineRule="exact"/>
              <w:ind w:left="181" w:right="181"/>
              <w:jc w:val="center"/>
              <w:rPr>
                <w:i/>
                <w:sz w:val="24"/>
              </w:rPr>
            </w:pPr>
            <w:r>
              <w:rPr>
                <w:i/>
                <w:sz w:val="24"/>
              </w:rPr>
              <w:t>existed</w:t>
            </w:r>
          </w:p>
        </w:tc>
        <w:tc>
          <w:tcPr>
            <w:tcW w:w="1620" w:type="dxa"/>
            <w:vMerge/>
            <w:tcBorders>
              <w:top w:val="nil"/>
            </w:tcBorders>
          </w:tcPr>
          <w:p w:rsidR="00A66038" w:rsidRDefault="00A66038">
            <w:pPr>
              <w:rPr>
                <w:sz w:val="2"/>
                <w:szCs w:val="2"/>
              </w:rPr>
            </w:pPr>
          </w:p>
        </w:tc>
      </w:tr>
      <w:tr w:rsidR="00A66038">
        <w:trPr>
          <w:trHeight w:val="551"/>
        </w:trPr>
        <w:tc>
          <w:tcPr>
            <w:tcW w:w="2350" w:type="dxa"/>
          </w:tcPr>
          <w:p w:rsidR="00A66038" w:rsidRDefault="0059198A">
            <w:pPr>
              <w:pStyle w:val="TableParagraph"/>
              <w:spacing w:before="138"/>
              <w:ind w:right="179"/>
              <w:jc w:val="center"/>
              <w:rPr>
                <w:b/>
                <w:sz w:val="24"/>
              </w:rPr>
            </w:pPr>
            <w:r>
              <w:rPr>
                <w:b/>
                <w:sz w:val="24"/>
              </w:rPr>
              <w:t>~375 miles</w:t>
            </w:r>
          </w:p>
        </w:tc>
        <w:tc>
          <w:tcPr>
            <w:tcW w:w="2146" w:type="dxa"/>
          </w:tcPr>
          <w:p w:rsidR="00A66038" w:rsidRDefault="0059198A">
            <w:pPr>
              <w:pStyle w:val="TableParagraph"/>
              <w:spacing w:before="138"/>
              <w:ind w:left="592"/>
              <w:rPr>
                <w:b/>
                <w:sz w:val="24"/>
              </w:rPr>
            </w:pPr>
            <w:r>
              <w:rPr>
                <w:b/>
                <w:sz w:val="24"/>
              </w:rPr>
              <w:t>~25 miles</w:t>
            </w:r>
          </w:p>
        </w:tc>
        <w:tc>
          <w:tcPr>
            <w:tcW w:w="2076" w:type="dxa"/>
          </w:tcPr>
          <w:p w:rsidR="00A66038" w:rsidRDefault="0059198A">
            <w:pPr>
              <w:pStyle w:val="TableParagraph"/>
              <w:spacing w:before="138"/>
              <w:ind w:left="476" w:right="471"/>
              <w:jc w:val="center"/>
              <w:rPr>
                <w:b/>
                <w:sz w:val="24"/>
              </w:rPr>
            </w:pPr>
            <w:r>
              <w:rPr>
                <w:b/>
                <w:sz w:val="24"/>
              </w:rPr>
              <w:t>~281 miles</w:t>
            </w:r>
          </w:p>
        </w:tc>
        <w:tc>
          <w:tcPr>
            <w:tcW w:w="2335" w:type="dxa"/>
          </w:tcPr>
          <w:p w:rsidR="00A66038" w:rsidRDefault="0059198A">
            <w:pPr>
              <w:pStyle w:val="TableParagraph"/>
              <w:spacing w:before="138"/>
              <w:ind w:left="687"/>
              <w:rPr>
                <w:b/>
                <w:sz w:val="24"/>
              </w:rPr>
            </w:pPr>
            <w:r>
              <w:rPr>
                <w:b/>
                <w:sz w:val="24"/>
              </w:rPr>
              <w:t>~57 miles</w:t>
            </w:r>
          </w:p>
        </w:tc>
        <w:tc>
          <w:tcPr>
            <w:tcW w:w="1620" w:type="dxa"/>
          </w:tcPr>
          <w:p w:rsidR="00A66038" w:rsidRDefault="0059198A">
            <w:pPr>
              <w:pStyle w:val="TableParagraph"/>
              <w:spacing w:before="2" w:line="276" w:lineRule="exact"/>
              <w:ind w:left="308" w:right="243" w:hanging="39"/>
              <w:rPr>
                <w:b/>
                <w:sz w:val="24"/>
              </w:rPr>
            </w:pPr>
            <w:r>
              <w:rPr>
                <w:b/>
                <w:sz w:val="24"/>
              </w:rPr>
              <w:t>~738 miles FUNDED</w:t>
            </w:r>
          </w:p>
        </w:tc>
      </w:tr>
      <w:tr w:rsidR="00A66038">
        <w:trPr>
          <w:trHeight w:val="552"/>
        </w:trPr>
        <w:tc>
          <w:tcPr>
            <w:tcW w:w="2350" w:type="dxa"/>
          </w:tcPr>
          <w:p w:rsidR="00A66038" w:rsidRDefault="0059198A">
            <w:pPr>
              <w:pStyle w:val="TableParagraph"/>
              <w:spacing w:before="135"/>
              <w:ind w:right="179"/>
              <w:jc w:val="center"/>
              <w:rPr>
                <w:b/>
                <w:sz w:val="24"/>
              </w:rPr>
            </w:pPr>
            <w:r>
              <w:rPr>
                <w:b/>
                <w:sz w:val="24"/>
              </w:rPr>
              <w:t>~297 miles</w:t>
            </w:r>
          </w:p>
        </w:tc>
        <w:tc>
          <w:tcPr>
            <w:tcW w:w="2146" w:type="dxa"/>
          </w:tcPr>
          <w:p w:rsidR="00A66038" w:rsidRDefault="0059198A">
            <w:pPr>
              <w:pStyle w:val="TableParagraph"/>
              <w:spacing w:before="135"/>
              <w:ind w:left="592"/>
              <w:rPr>
                <w:b/>
                <w:sz w:val="24"/>
              </w:rPr>
            </w:pPr>
            <w:r>
              <w:rPr>
                <w:b/>
                <w:sz w:val="24"/>
              </w:rPr>
              <w:t>~20 miles</w:t>
            </w:r>
          </w:p>
        </w:tc>
        <w:tc>
          <w:tcPr>
            <w:tcW w:w="2076" w:type="dxa"/>
          </w:tcPr>
          <w:p w:rsidR="00A66038" w:rsidRDefault="0059198A">
            <w:pPr>
              <w:pStyle w:val="TableParagraph"/>
              <w:spacing w:before="135"/>
              <w:ind w:left="476" w:right="471"/>
              <w:jc w:val="center"/>
              <w:rPr>
                <w:b/>
                <w:sz w:val="24"/>
              </w:rPr>
            </w:pPr>
            <w:r>
              <w:rPr>
                <w:b/>
                <w:sz w:val="24"/>
              </w:rPr>
              <w:t>~15 miles</w:t>
            </w:r>
          </w:p>
        </w:tc>
        <w:tc>
          <w:tcPr>
            <w:tcW w:w="2335" w:type="dxa"/>
          </w:tcPr>
          <w:p w:rsidR="00A66038" w:rsidRDefault="0059198A">
            <w:pPr>
              <w:pStyle w:val="TableParagraph"/>
              <w:spacing w:before="135"/>
              <w:ind w:left="687"/>
              <w:rPr>
                <w:b/>
                <w:sz w:val="24"/>
              </w:rPr>
            </w:pPr>
            <w:r>
              <w:rPr>
                <w:b/>
                <w:sz w:val="24"/>
              </w:rPr>
              <w:t>~28 miles</w:t>
            </w:r>
          </w:p>
        </w:tc>
        <w:tc>
          <w:tcPr>
            <w:tcW w:w="1620" w:type="dxa"/>
          </w:tcPr>
          <w:p w:rsidR="00A66038" w:rsidRDefault="0059198A">
            <w:pPr>
              <w:pStyle w:val="TableParagraph"/>
              <w:spacing w:line="276" w:lineRule="exact"/>
              <w:ind w:left="121" w:right="95" w:firstLine="148"/>
              <w:rPr>
                <w:b/>
                <w:sz w:val="24"/>
              </w:rPr>
            </w:pPr>
            <w:r>
              <w:rPr>
                <w:b/>
                <w:sz w:val="24"/>
              </w:rPr>
              <w:t>~360 miles COMPLETE</w:t>
            </w:r>
          </w:p>
        </w:tc>
      </w:tr>
    </w:tbl>
    <w:p w:rsidR="00A66038" w:rsidRDefault="00A66038">
      <w:pPr>
        <w:pStyle w:val="BodyText"/>
        <w:spacing w:before="10"/>
        <w:rPr>
          <w:sz w:val="23"/>
        </w:rPr>
      </w:pPr>
    </w:p>
    <w:p w:rsidR="00A66038" w:rsidRDefault="0059198A">
      <w:pPr>
        <w:pStyle w:val="Heading1"/>
        <w:spacing w:line="276" w:lineRule="exact"/>
        <w:ind w:left="340" w:firstLine="0"/>
      </w:pPr>
      <w:r>
        <w:rPr>
          <w:u w:val="thick"/>
        </w:rPr>
        <w:t>Breakdown by Funding Type</w:t>
      </w:r>
    </w:p>
    <w:p w:rsidR="00A66038" w:rsidRDefault="0059198A">
      <w:pPr>
        <w:pStyle w:val="ListParagraph"/>
        <w:numPr>
          <w:ilvl w:val="0"/>
          <w:numId w:val="1"/>
        </w:numPr>
        <w:tabs>
          <w:tab w:val="left" w:pos="699"/>
          <w:tab w:val="left" w:pos="700"/>
        </w:tabs>
        <w:spacing w:before="0" w:line="291" w:lineRule="exact"/>
        <w:rPr>
          <w:b/>
          <w:sz w:val="24"/>
        </w:rPr>
      </w:pPr>
      <w:r>
        <w:rPr>
          <w:b/>
          <w:sz w:val="24"/>
        </w:rPr>
        <w:t>CBP Fiscal Year (FY) 2017 - $341 million (~40</w:t>
      </w:r>
      <w:r>
        <w:rPr>
          <w:b/>
          <w:spacing w:val="-4"/>
          <w:sz w:val="24"/>
        </w:rPr>
        <w:t xml:space="preserve"> </w:t>
      </w:r>
      <w:r>
        <w:rPr>
          <w:b/>
          <w:sz w:val="24"/>
        </w:rPr>
        <w:t>miles)</w:t>
      </w:r>
    </w:p>
    <w:p w:rsidR="00A66038" w:rsidRDefault="0059198A">
      <w:pPr>
        <w:pStyle w:val="ListParagraph"/>
        <w:numPr>
          <w:ilvl w:val="1"/>
          <w:numId w:val="1"/>
        </w:numPr>
        <w:tabs>
          <w:tab w:val="left" w:pos="1512"/>
        </w:tabs>
        <w:spacing w:before="12" w:line="223" w:lineRule="auto"/>
        <w:ind w:left="1511" w:right="536"/>
        <w:rPr>
          <w:sz w:val="24"/>
        </w:rPr>
      </w:pPr>
      <w:r>
        <w:rPr>
          <w:sz w:val="24"/>
        </w:rPr>
        <w:t>$292 million funded ~40 miles of new primary and secondary border wall system, in place of dilapidated and outdated designs, in the San Diego, El Centro, and El Paso</w:t>
      </w:r>
      <w:r>
        <w:rPr>
          <w:spacing w:val="-12"/>
          <w:sz w:val="24"/>
        </w:rPr>
        <w:t xml:space="preserve"> </w:t>
      </w:r>
      <w:r>
        <w:rPr>
          <w:sz w:val="24"/>
        </w:rPr>
        <w:t>Sectors.</w:t>
      </w:r>
    </w:p>
    <w:p w:rsidR="00A66038" w:rsidRDefault="0059198A">
      <w:pPr>
        <w:pStyle w:val="ListParagraph"/>
        <w:numPr>
          <w:ilvl w:val="1"/>
          <w:numId w:val="1"/>
        </w:numPr>
        <w:tabs>
          <w:tab w:val="left" w:pos="1512"/>
        </w:tabs>
        <w:spacing w:before="4"/>
        <w:ind w:left="1511" w:hanging="361"/>
        <w:rPr>
          <w:sz w:val="24"/>
        </w:rPr>
      </w:pPr>
      <w:r>
        <w:rPr>
          <w:sz w:val="24"/>
        </w:rPr>
        <w:t xml:space="preserve">$49 million funded 34 border wall gates in the RGV Sector. </w:t>
      </w:r>
      <w:proofErr w:type="gramStart"/>
      <w:r>
        <w:rPr>
          <w:sz w:val="24"/>
        </w:rPr>
        <w:t>10</w:t>
      </w:r>
      <w:proofErr w:type="gramEnd"/>
      <w:r>
        <w:rPr>
          <w:sz w:val="24"/>
        </w:rPr>
        <w:t xml:space="preserve"> gates are</w:t>
      </w:r>
      <w:r>
        <w:rPr>
          <w:spacing w:val="-5"/>
          <w:sz w:val="24"/>
        </w:rPr>
        <w:t xml:space="preserve"> </w:t>
      </w:r>
      <w:r>
        <w:rPr>
          <w:sz w:val="24"/>
        </w:rPr>
        <w:t>complete.</w:t>
      </w:r>
    </w:p>
    <w:p w:rsidR="00A66038" w:rsidRDefault="0059198A">
      <w:pPr>
        <w:pStyle w:val="ListParagraph"/>
        <w:numPr>
          <w:ilvl w:val="2"/>
          <w:numId w:val="1"/>
        </w:numPr>
        <w:tabs>
          <w:tab w:val="left" w:pos="1871"/>
          <w:tab w:val="left" w:pos="1872"/>
        </w:tabs>
        <w:spacing w:before="45"/>
        <w:ind w:right="437"/>
        <w:rPr>
          <w:b/>
          <w:i/>
          <w:sz w:val="24"/>
        </w:rPr>
      </w:pPr>
      <w:proofErr w:type="gramStart"/>
      <w:r>
        <w:rPr>
          <w:b/>
          <w:i/>
          <w:sz w:val="24"/>
        </w:rPr>
        <w:t>~40 miles</w:t>
      </w:r>
      <w:proofErr w:type="gramEnd"/>
      <w:r>
        <w:rPr>
          <w:b/>
          <w:i/>
          <w:sz w:val="24"/>
        </w:rPr>
        <w:t xml:space="preserve"> (~100%) have been completed to date. The final panel </w:t>
      </w:r>
      <w:proofErr w:type="gramStart"/>
      <w:r>
        <w:rPr>
          <w:b/>
          <w:i/>
          <w:sz w:val="24"/>
        </w:rPr>
        <w:t>was installed</w:t>
      </w:r>
      <w:proofErr w:type="gramEnd"/>
      <w:r>
        <w:rPr>
          <w:b/>
          <w:i/>
          <w:sz w:val="24"/>
        </w:rPr>
        <w:t xml:space="preserve"> August 9, 2019.</w:t>
      </w:r>
    </w:p>
    <w:p w:rsidR="00A66038" w:rsidRDefault="0059198A">
      <w:pPr>
        <w:pStyle w:val="Heading1"/>
        <w:numPr>
          <w:ilvl w:val="0"/>
          <w:numId w:val="1"/>
        </w:numPr>
        <w:tabs>
          <w:tab w:val="left" w:pos="699"/>
          <w:tab w:val="left" w:pos="700"/>
        </w:tabs>
        <w:spacing w:before="59"/>
      </w:pPr>
      <w:r>
        <w:t>CBP FY 2018 - $1.375 billion (~78</w:t>
      </w:r>
      <w:r>
        <w:rPr>
          <w:spacing w:val="-2"/>
        </w:rPr>
        <w:t xml:space="preserve"> </w:t>
      </w:r>
      <w:r>
        <w:t>miles)</w:t>
      </w:r>
    </w:p>
    <w:p w:rsidR="00A66038" w:rsidRDefault="0059198A">
      <w:pPr>
        <w:pStyle w:val="ListParagraph"/>
        <w:numPr>
          <w:ilvl w:val="1"/>
          <w:numId w:val="1"/>
        </w:numPr>
        <w:tabs>
          <w:tab w:val="left" w:pos="1512"/>
        </w:tabs>
        <w:spacing w:before="6" w:line="230" w:lineRule="auto"/>
        <w:ind w:left="1511" w:right="426"/>
        <w:rPr>
          <w:sz w:val="24"/>
        </w:rPr>
      </w:pPr>
      <w:r>
        <w:rPr>
          <w:sz w:val="24"/>
        </w:rPr>
        <w:t>$1.375 billion funds ~78 miles of new pr</w:t>
      </w:r>
      <w:r>
        <w:rPr>
          <w:sz w:val="24"/>
        </w:rPr>
        <w:t>imary and secondary border wall system, in place of dilapidated and outdated designs and in locations where no barriers currently exist, in the San Diego, El Centro, Yuma and RGV</w:t>
      </w:r>
      <w:r>
        <w:rPr>
          <w:spacing w:val="-2"/>
          <w:sz w:val="24"/>
        </w:rPr>
        <w:t xml:space="preserve"> </w:t>
      </w:r>
      <w:r>
        <w:rPr>
          <w:sz w:val="24"/>
        </w:rPr>
        <w:t>Sectors.</w:t>
      </w:r>
    </w:p>
    <w:p w:rsidR="00A66038" w:rsidRDefault="0059198A">
      <w:pPr>
        <w:pStyle w:val="ListParagraph"/>
        <w:numPr>
          <w:ilvl w:val="2"/>
          <w:numId w:val="1"/>
        </w:numPr>
        <w:tabs>
          <w:tab w:val="left" w:pos="1871"/>
          <w:tab w:val="left" w:pos="1872"/>
        </w:tabs>
        <w:spacing w:before="69"/>
        <w:ind w:hanging="361"/>
        <w:rPr>
          <w:b/>
          <w:i/>
          <w:sz w:val="24"/>
        </w:rPr>
      </w:pPr>
      <w:proofErr w:type="gramStart"/>
      <w:r>
        <w:rPr>
          <w:b/>
          <w:i/>
          <w:sz w:val="24"/>
        </w:rPr>
        <w:t>~52 miles</w:t>
      </w:r>
      <w:proofErr w:type="gramEnd"/>
      <w:r>
        <w:rPr>
          <w:b/>
          <w:i/>
          <w:sz w:val="24"/>
        </w:rPr>
        <w:t xml:space="preserve"> have been completed to date in multiple</w:t>
      </w:r>
      <w:r>
        <w:rPr>
          <w:b/>
          <w:i/>
          <w:spacing w:val="-7"/>
          <w:sz w:val="24"/>
        </w:rPr>
        <w:t xml:space="preserve"> </w:t>
      </w:r>
      <w:r>
        <w:rPr>
          <w:b/>
          <w:i/>
          <w:sz w:val="24"/>
        </w:rPr>
        <w:t>locations.</w:t>
      </w:r>
    </w:p>
    <w:p w:rsidR="00A66038" w:rsidRDefault="00A66038">
      <w:pPr>
        <w:rPr>
          <w:sz w:val="24"/>
        </w:rPr>
        <w:sectPr w:rsidR="00A66038">
          <w:type w:val="continuous"/>
          <w:pgSz w:w="12240" w:h="15840"/>
          <w:pgMar w:top="600" w:right="740" w:bottom="280" w:left="740" w:header="720" w:footer="720" w:gutter="0"/>
          <w:cols w:space="720"/>
        </w:sectPr>
      </w:pPr>
    </w:p>
    <w:p w:rsidR="00A66038" w:rsidRDefault="0059198A">
      <w:pPr>
        <w:spacing w:before="74"/>
        <w:ind w:left="5862"/>
        <w:rPr>
          <w:i/>
        </w:rPr>
      </w:pPr>
      <w:r>
        <w:rPr>
          <w:i/>
        </w:rPr>
        <w:t>CBP/USACE Border Wall Status – October 2, 2020</w:t>
      </w:r>
    </w:p>
    <w:p w:rsidR="00A66038" w:rsidRDefault="00A66038">
      <w:pPr>
        <w:pStyle w:val="BodyText"/>
        <w:rPr>
          <w:i/>
          <w:sz w:val="20"/>
        </w:rPr>
      </w:pPr>
    </w:p>
    <w:p w:rsidR="00A66038" w:rsidRDefault="0059198A">
      <w:pPr>
        <w:pStyle w:val="Heading1"/>
        <w:numPr>
          <w:ilvl w:val="0"/>
          <w:numId w:val="1"/>
        </w:numPr>
        <w:tabs>
          <w:tab w:val="left" w:pos="699"/>
          <w:tab w:val="left" w:pos="700"/>
        </w:tabs>
        <w:spacing w:before="241"/>
      </w:pPr>
      <w:r>
        <w:t>CBP FY 2019 - $1.976 billion (~85</w:t>
      </w:r>
      <w:r>
        <w:rPr>
          <w:spacing w:val="-2"/>
        </w:rPr>
        <w:t xml:space="preserve"> </w:t>
      </w:r>
      <w:r>
        <w:t>miles)</w:t>
      </w:r>
    </w:p>
    <w:p w:rsidR="00A66038" w:rsidRDefault="0059198A">
      <w:pPr>
        <w:pStyle w:val="ListParagraph"/>
        <w:numPr>
          <w:ilvl w:val="1"/>
          <w:numId w:val="1"/>
        </w:numPr>
        <w:tabs>
          <w:tab w:val="left" w:pos="1512"/>
        </w:tabs>
        <w:spacing w:before="2" w:line="235" w:lineRule="auto"/>
        <w:ind w:left="1511" w:right="450"/>
        <w:rPr>
          <w:sz w:val="24"/>
        </w:rPr>
      </w:pPr>
      <w:r>
        <w:rPr>
          <w:sz w:val="24"/>
        </w:rPr>
        <w:t>CBP’s FY 2019 funding includes $1.976 billion ($1.375 billion appropriated and $601 million TFF) for ~85 miles, including ~11 miles of new levee wall syst</w:t>
      </w:r>
      <w:r>
        <w:rPr>
          <w:sz w:val="24"/>
        </w:rPr>
        <w:t>em and ~74 miles of new primary border wall system in the RGV Sector. Construction is taking place in locations where no barriers previously</w:t>
      </w:r>
      <w:r>
        <w:rPr>
          <w:spacing w:val="-5"/>
          <w:sz w:val="24"/>
        </w:rPr>
        <w:t xml:space="preserve"> </w:t>
      </w:r>
      <w:r>
        <w:rPr>
          <w:sz w:val="24"/>
        </w:rPr>
        <w:t>existed.</w:t>
      </w:r>
    </w:p>
    <w:p w:rsidR="00A66038" w:rsidRDefault="0059198A">
      <w:pPr>
        <w:pStyle w:val="ListParagraph"/>
        <w:numPr>
          <w:ilvl w:val="2"/>
          <w:numId w:val="1"/>
        </w:numPr>
        <w:tabs>
          <w:tab w:val="left" w:pos="1871"/>
          <w:tab w:val="left" w:pos="1872"/>
        </w:tabs>
        <w:spacing w:before="62"/>
        <w:ind w:hanging="361"/>
        <w:rPr>
          <w:b/>
          <w:i/>
          <w:sz w:val="24"/>
        </w:rPr>
      </w:pPr>
      <w:r>
        <w:rPr>
          <w:b/>
          <w:i/>
          <w:sz w:val="24"/>
        </w:rPr>
        <w:t xml:space="preserve">~4 miles </w:t>
      </w:r>
      <w:proofErr w:type="gramStart"/>
      <w:r>
        <w:rPr>
          <w:b/>
          <w:i/>
          <w:sz w:val="24"/>
        </w:rPr>
        <w:t>have been completed</w:t>
      </w:r>
      <w:proofErr w:type="gramEnd"/>
      <w:r>
        <w:rPr>
          <w:b/>
          <w:i/>
          <w:sz w:val="24"/>
        </w:rPr>
        <w:t xml:space="preserve"> to</w:t>
      </w:r>
      <w:r>
        <w:rPr>
          <w:b/>
          <w:i/>
          <w:spacing w:val="-3"/>
          <w:sz w:val="24"/>
        </w:rPr>
        <w:t xml:space="preserve"> </w:t>
      </w:r>
      <w:r>
        <w:rPr>
          <w:b/>
          <w:i/>
          <w:sz w:val="24"/>
        </w:rPr>
        <w:t>date.</w:t>
      </w:r>
    </w:p>
    <w:p w:rsidR="00A66038" w:rsidRDefault="0059198A">
      <w:pPr>
        <w:pStyle w:val="Heading1"/>
        <w:numPr>
          <w:ilvl w:val="0"/>
          <w:numId w:val="1"/>
        </w:numPr>
        <w:tabs>
          <w:tab w:val="left" w:pos="699"/>
          <w:tab w:val="left" w:pos="700"/>
        </w:tabs>
        <w:spacing w:before="60"/>
        <w:ind w:hanging="361"/>
      </w:pPr>
      <w:r>
        <w:t>CBP FY 2020 - $1.375 billion (~69</w:t>
      </w:r>
      <w:r>
        <w:rPr>
          <w:spacing w:val="-12"/>
        </w:rPr>
        <w:t xml:space="preserve"> </w:t>
      </w:r>
      <w:r>
        <w:t>miles)</w:t>
      </w:r>
    </w:p>
    <w:p w:rsidR="00A66038" w:rsidRDefault="0059198A">
      <w:pPr>
        <w:pStyle w:val="ListParagraph"/>
        <w:numPr>
          <w:ilvl w:val="1"/>
          <w:numId w:val="1"/>
        </w:numPr>
        <w:tabs>
          <w:tab w:val="left" w:pos="1512"/>
        </w:tabs>
        <w:spacing w:line="230" w:lineRule="auto"/>
        <w:ind w:left="1511" w:right="520"/>
        <w:rPr>
          <w:sz w:val="24"/>
        </w:rPr>
      </w:pPr>
      <w:r>
        <w:rPr>
          <w:sz w:val="24"/>
        </w:rPr>
        <w:t>CBP’s FY 2020 funding includes $1.375 billion for ~69 miles of new primary border wall system, in locations where no barriers currently exist, within Webb and Zapata Counties in the Laredo Sector.</w:t>
      </w:r>
    </w:p>
    <w:p w:rsidR="00A66038" w:rsidRDefault="0059198A">
      <w:pPr>
        <w:pStyle w:val="ListParagraph"/>
        <w:numPr>
          <w:ilvl w:val="2"/>
          <w:numId w:val="1"/>
        </w:numPr>
        <w:tabs>
          <w:tab w:val="left" w:pos="1871"/>
          <w:tab w:val="left" w:pos="1872"/>
        </w:tabs>
        <w:spacing w:before="70"/>
        <w:ind w:hanging="361"/>
        <w:rPr>
          <w:b/>
          <w:i/>
          <w:sz w:val="24"/>
        </w:rPr>
      </w:pPr>
      <w:r>
        <w:rPr>
          <w:b/>
          <w:i/>
          <w:sz w:val="24"/>
        </w:rPr>
        <w:t xml:space="preserve">Construction </w:t>
      </w:r>
      <w:proofErr w:type="gramStart"/>
      <w:r>
        <w:rPr>
          <w:b/>
          <w:i/>
          <w:sz w:val="24"/>
        </w:rPr>
        <w:t>is anticipated</w:t>
      </w:r>
      <w:proofErr w:type="gramEnd"/>
      <w:r>
        <w:rPr>
          <w:b/>
          <w:i/>
          <w:sz w:val="24"/>
        </w:rPr>
        <w:t xml:space="preserve"> to begin in early</w:t>
      </w:r>
      <w:r>
        <w:rPr>
          <w:b/>
          <w:i/>
          <w:spacing w:val="-3"/>
          <w:sz w:val="24"/>
        </w:rPr>
        <w:t xml:space="preserve"> </w:t>
      </w:r>
      <w:r>
        <w:rPr>
          <w:b/>
          <w:i/>
          <w:sz w:val="24"/>
        </w:rPr>
        <w:t>2021.</w:t>
      </w:r>
    </w:p>
    <w:p w:rsidR="00A66038" w:rsidRDefault="0059198A">
      <w:pPr>
        <w:pStyle w:val="Heading1"/>
        <w:numPr>
          <w:ilvl w:val="0"/>
          <w:numId w:val="1"/>
        </w:numPr>
        <w:tabs>
          <w:tab w:val="left" w:pos="699"/>
          <w:tab w:val="left" w:pos="700"/>
        </w:tabs>
        <w:spacing w:before="60"/>
      </w:pPr>
      <w:r>
        <w:t xml:space="preserve">DoD 10 </w:t>
      </w:r>
      <w:r>
        <w:t>U.S.C. § 284 Counter-Narcotics Funding - ~$6.3 billion (~291</w:t>
      </w:r>
      <w:r>
        <w:rPr>
          <w:spacing w:val="-8"/>
        </w:rPr>
        <w:t xml:space="preserve"> </w:t>
      </w:r>
      <w:r>
        <w:t>miles)</w:t>
      </w:r>
    </w:p>
    <w:p w:rsidR="00A66038" w:rsidRDefault="0059198A">
      <w:pPr>
        <w:pStyle w:val="ListParagraph"/>
        <w:numPr>
          <w:ilvl w:val="1"/>
          <w:numId w:val="1"/>
        </w:numPr>
        <w:tabs>
          <w:tab w:val="left" w:pos="1512"/>
        </w:tabs>
        <w:spacing w:line="230" w:lineRule="auto"/>
        <w:ind w:left="1511" w:right="364"/>
        <w:rPr>
          <w:sz w:val="24"/>
        </w:rPr>
      </w:pPr>
      <w:r>
        <w:rPr>
          <w:sz w:val="24"/>
        </w:rPr>
        <w:t>In FY 2019, DoD identified $2.5 billion in 10 U.S.C. § 284 Counter Narcotic Funding to assist DHS/CBP with ~129 miles of new primary border wall system, in place of dilapidated or outdated</w:t>
      </w:r>
      <w:r>
        <w:rPr>
          <w:sz w:val="24"/>
        </w:rPr>
        <w:t xml:space="preserve"> barriers, in the Yuma, El Paso, El Centro, and Tucson</w:t>
      </w:r>
      <w:r>
        <w:rPr>
          <w:spacing w:val="-7"/>
          <w:sz w:val="24"/>
        </w:rPr>
        <w:t xml:space="preserve"> </w:t>
      </w:r>
      <w:r>
        <w:rPr>
          <w:sz w:val="24"/>
        </w:rPr>
        <w:t>Sectors.</w:t>
      </w:r>
    </w:p>
    <w:p w:rsidR="00A66038" w:rsidRDefault="0059198A">
      <w:pPr>
        <w:pStyle w:val="ListParagraph"/>
        <w:numPr>
          <w:ilvl w:val="2"/>
          <w:numId w:val="1"/>
        </w:numPr>
        <w:tabs>
          <w:tab w:val="left" w:pos="1871"/>
          <w:tab w:val="left" w:pos="1872"/>
        </w:tabs>
        <w:spacing w:before="70"/>
        <w:ind w:hanging="361"/>
        <w:rPr>
          <w:b/>
          <w:i/>
          <w:sz w:val="24"/>
        </w:rPr>
      </w:pPr>
      <w:r>
        <w:rPr>
          <w:b/>
          <w:i/>
          <w:sz w:val="24"/>
        </w:rPr>
        <w:t xml:space="preserve">~115 miles </w:t>
      </w:r>
      <w:proofErr w:type="gramStart"/>
      <w:r>
        <w:rPr>
          <w:b/>
          <w:i/>
          <w:sz w:val="24"/>
        </w:rPr>
        <w:t>have been completed</w:t>
      </w:r>
      <w:proofErr w:type="gramEnd"/>
      <w:r>
        <w:rPr>
          <w:b/>
          <w:i/>
          <w:sz w:val="24"/>
        </w:rPr>
        <w:t xml:space="preserve"> to date in multiple</w:t>
      </w:r>
      <w:r>
        <w:rPr>
          <w:b/>
          <w:i/>
          <w:spacing w:val="-16"/>
          <w:sz w:val="24"/>
        </w:rPr>
        <w:t xml:space="preserve"> </w:t>
      </w:r>
      <w:r>
        <w:rPr>
          <w:b/>
          <w:i/>
          <w:sz w:val="24"/>
        </w:rPr>
        <w:t>locations.</w:t>
      </w:r>
    </w:p>
    <w:p w:rsidR="00A66038" w:rsidRDefault="0059198A">
      <w:pPr>
        <w:pStyle w:val="ListParagraph"/>
        <w:numPr>
          <w:ilvl w:val="1"/>
          <w:numId w:val="1"/>
        </w:numPr>
        <w:tabs>
          <w:tab w:val="left" w:pos="1512"/>
        </w:tabs>
        <w:spacing w:before="59" w:line="235" w:lineRule="auto"/>
        <w:ind w:left="1511" w:right="563"/>
        <w:rPr>
          <w:sz w:val="24"/>
        </w:rPr>
      </w:pPr>
      <w:proofErr w:type="gramStart"/>
      <w:r>
        <w:rPr>
          <w:sz w:val="24"/>
        </w:rPr>
        <w:t>In FY 2020, DoD identified $3.8 billion in 10 U.S.C. § 284 Counter Narcotic Funding to assist DHS/CBP with the construction of up to ~162 miles of new primary and secondary border wall system, in place of dilapidated and outdated designs and in locations w</w:t>
      </w:r>
      <w:r>
        <w:rPr>
          <w:sz w:val="24"/>
        </w:rPr>
        <w:t>here</w:t>
      </w:r>
      <w:r>
        <w:rPr>
          <w:spacing w:val="-18"/>
          <w:sz w:val="24"/>
        </w:rPr>
        <w:t xml:space="preserve"> </w:t>
      </w:r>
      <w:r>
        <w:rPr>
          <w:sz w:val="24"/>
        </w:rPr>
        <w:t>no barriers currently exist, in the San Diego, El Centro, Yuma, Tucson, Del Rio and El Paso Sectors.</w:t>
      </w:r>
      <w:proofErr w:type="gramEnd"/>
    </w:p>
    <w:p w:rsidR="00A66038" w:rsidRDefault="0059198A">
      <w:pPr>
        <w:pStyle w:val="ListParagraph"/>
        <w:numPr>
          <w:ilvl w:val="2"/>
          <w:numId w:val="1"/>
        </w:numPr>
        <w:tabs>
          <w:tab w:val="left" w:pos="1871"/>
          <w:tab w:val="left" w:pos="1872"/>
        </w:tabs>
        <w:spacing w:before="68"/>
        <w:ind w:hanging="361"/>
        <w:rPr>
          <w:b/>
          <w:i/>
          <w:sz w:val="24"/>
        </w:rPr>
      </w:pPr>
      <w:proofErr w:type="gramStart"/>
      <w:r>
        <w:rPr>
          <w:b/>
          <w:i/>
          <w:sz w:val="24"/>
        </w:rPr>
        <w:t>~78 miles</w:t>
      </w:r>
      <w:proofErr w:type="gramEnd"/>
      <w:r>
        <w:rPr>
          <w:b/>
          <w:i/>
          <w:sz w:val="24"/>
        </w:rPr>
        <w:t xml:space="preserve"> have been completed to date in multiple</w:t>
      </w:r>
      <w:r>
        <w:rPr>
          <w:b/>
          <w:i/>
          <w:spacing w:val="-7"/>
          <w:sz w:val="24"/>
        </w:rPr>
        <w:t xml:space="preserve"> </w:t>
      </w:r>
      <w:r>
        <w:rPr>
          <w:b/>
          <w:i/>
          <w:sz w:val="24"/>
        </w:rPr>
        <w:t>locations.</w:t>
      </w:r>
    </w:p>
    <w:p w:rsidR="00A66038" w:rsidRDefault="0059198A">
      <w:pPr>
        <w:pStyle w:val="Heading1"/>
        <w:numPr>
          <w:ilvl w:val="0"/>
          <w:numId w:val="1"/>
        </w:numPr>
        <w:tabs>
          <w:tab w:val="left" w:pos="699"/>
          <w:tab w:val="left" w:pos="700"/>
        </w:tabs>
        <w:spacing w:before="60"/>
        <w:ind w:hanging="361"/>
      </w:pPr>
      <w:r>
        <w:t>DoD 10 U.S.C. § 2808 Military Construction Funding - $3.6 billion (~175</w:t>
      </w:r>
      <w:r>
        <w:rPr>
          <w:spacing w:val="-4"/>
        </w:rPr>
        <w:t xml:space="preserve"> </w:t>
      </w:r>
      <w:r>
        <w:t>miles)</w:t>
      </w:r>
    </w:p>
    <w:p w:rsidR="00A66038" w:rsidRDefault="0059198A">
      <w:pPr>
        <w:pStyle w:val="ListParagraph"/>
        <w:numPr>
          <w:ilvl w:val="1"/>
          <w:numId w:val="1"/>
        </w:numPr>
        <w:tabs>
          <w:tab w:val="left" w:pos="1512"/>
        </w:tabs>
        <w:spacing w:line="230" w:lineRule="auto"/>
        <w:ind w:left="1511" w:right="482"/>
        <w:rPr>
          <w:sz w:val="24"/>
        </w:rPr>
      </w:pPr>
      <w:r>
        <w:rPr>
          <w:sz w:val="24"/>
        </w:rPr>
        <w:t>In FY 2019, DoD identified $3.6 billion in 10 U.S.C. § 2808 Military Construction</w:t>
      </w:r>
      <w:r>
        <w:rPr>
          <w:spacing w:val="-21"/>
          <w:sz w:val="24"/>
        </w:rPr>
        <w:t xml:space="preserve"> </w:t>
      </w:r>
      <w:r>
        <w:rPr>
          <w:sz w:val="24"/>
        </w:rPr>
        <w:t>funding totaling up to ~175 miles of new primary and secondary border wall system in the San Diego, El Centro, Yuma, El Paso, and Laredo</w:t>
      </w:r>
      <w:r>
        <w:rPr>
          <w:spacing w:val="3"/>
          <w:sz w:val="24"/>
        </w:rPr>
        <w:t xml:space="preserve"> </w:t>
      </w:r>
      <w:r>
        <w:rPr>
          <w:sz w:val="24"/>
        </w:rPr>
        <w:t>Sectors.</w:t>
      </w:r>
    </w:p>
    <w:p w:rsidR="00A66038" w:rsidRDefault="0059198A">
      <w:pPr>
        <w:pStyle w:val="ListParagraph"/>
        <w:numPr>
          <w:ilvl w:val="2"/>
          <w:numId w:val="1"/>
        </w:numPr>
        <w:tabs>
          <w:tab w:val="left" w:pos="1871"/>
          <w:tab w:val="left" w:pos="1872"/>
        </w:tabs>
        <w:spacing w:before="70"/>
        <w:ind w:hanging="361"/>
        <w:rPr>
          <w:b/>
          <w:i/>
          <w:sz w:val="24"/>
        </w:rPr>
      </w:pPr>
      <w:proofErr w:type="gramStart"/>
      <w:r>
        <w:rPr>
          <w:b/>
          <w:i/>
          <w:sz w:val="24"/>
        </w:rPr>
        <w:t>~70 miles</w:t>
      </w:r>
      <w:proofErr w:type="gramEnd"/>
      <w:r>
        <w:rPr>
          <w:b/>
          <w:i/>
          <w:sz w:val="24"/>
        </w:rPr>
        <w:t xml:space="preserve"> have been complete</w:t>
      </w:r>
      <w:r>
        <w:rPr>
          <w:b/>
          <w:i/>
          <w:sz w:val="24"/>
        </w:rPr>
        <w:t>d to date in multiple</w:t>
      </w:r>
      <w:r>
        <w:rPr>
          <w:b/>
          <w:i/>
          <w:spacing w:val="-7"/>
          <w:sz w:val="24"/>
        </w:rPr>
        <w:t xml:space="preserve"> </w:t>
      </w:r>
      <w:r>
        <w:rPr>
          <w:b/>
          <w:i/>
          <w:sz w:val="24"/>
        </w:rPr>
        <w:t>locations.</w:t>
      </w:r>
    </w:p>
    <w:p w:rsidR="00A66038" w:rsidRDefault="00A66038">
      <w:pPr>
        <w:pStyle w:val="BodyText"/>
        <w:rPr>
          <w:b/>
          <w:i/>
          <w:sz w:val="26"/>
        </w:rPr>
      </w:pPr>
    </w:p>
    <w:p w:rsidR="00A66038" w:rsidRDefault="00A66038">
      <w:pPr>
        <w:pStyle w:val="BodyText"/>
        <w:spacing w:before="11"/>
        <w:rPr>
          <w:b/>
          <w:i/>
          <w:sz w:val="21"/>
        </w:rPr>
      </w:pPr>
    </w:p>
    <w:p w:rsidR="00A66038" w:rsidRDefault="0059198A">
      <w:pPr>
        <w:ind w:left="1226" w:right="1226"/>
        <w:jc w:val="center"/>
      </w:pPr>
      <w:r>
        <w:rPr>
          <w:i/>
        </w:rPr>
        <w:t xml:space="preserve">For media inquiries, please contact CBP Media Relations at </w:t>
      </w:r>
      <w:hyperlink r:id="rId7">
        <w:r>
          <w:rPr>
            <w:color w:val="0563C1"/>
            <w:u w:val="single" w:color="0563C1"/>
          </w:rPr>
          <w:t>cbpmediarelations@cbp.dhs.gov</w:t>
        </w:r>
      </w:hyperlink>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rPr>
          <w:sz w:val="20"/>
        </w:rPr>
      </w:pPr>
    </w:p>
    <w:p w:rsidR="00A66038" w:rsidRDefault="00A66038">
      <w:pPr>
        <w:pStyle w:val="BodyText"/>
        <w:spacing w:before="6"/>
        <w:rPr>
          <w:sz w:val="28"/>
        </w:rPr>
      </w:pPr>
    </w:p>
    <w:p w:rsidR="00A66038" w:rsidRDefault="0059198A">
      <w:pPr>
        <w:spacing w:before="92"/>
        <w:ind w:left="340"/>
        <w:rPr>
          <w:sz w:val="18"/>
        </w:rPr>
      </w:pPr>
      <w:r>
        <w:rPr>
          <w:sz w:val="18"/>
        </w:rPr>
        <w:t>NOTE: “~” denotes “approximately.” Totals may differ slightly due to rounding.</w:t>
      </w:r>
    </w:p>
    <w:sectPr w:rsidR="00A66038">
      <w:pgSz w:w="12240" w:h="15840"/>
      <w:pgMar w:top="6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91CCC"/>
    <w:multiLevelType w:val="hybridMultilevel"/>
    <w:tmpl w:val="C9BE23C6"/>
    <w:lvl w:ilvl="0" w:tplc="BAF4D75E">
      <w:numFmt w:val="bullet"/>
      <w:lvlText w:val=""/>
      <w:lvlJc w:val="left"/>
      <w:pPr>
        <w:ind w:left="700" w:hanging="360"/>
      </w:pPr>
      <w:rPr>
        <w:rFonts w:ascii="Symbol" w:eastAsia="Symbol" w:hAnsi="Symbol" w:cs="Symbol" w:hint="default"/>
        <w:w w:val="100"/>
        <w:sz w:val="24"/>
        <w:szCs w:val="24"/>
        <w:lang w:val="en-US" w:eastAsia="en-US" w:bidi="ar-SA"/>
      </w:rPr>
    </w:lvl>
    <w:lvl w:ilvl="1" w:tplc="BCFCB8E0">
      <w:numFmt w:val="bullet"/>
      <w:lvlText w:val="o"/>
      <w:lvlJc w:val="left"/>
      <w:pPr>
        <w:ind w:left="1420" w:hanging="360"/>
      </w:pPr>
      <w:rPr>
        <w:rFonts w:ascii="Courier New" w:eastAsia="Courier New" w:hAnsi="Courier New" w:cs="Courier New" w:hint="default"/>
        <w:w w:val="99"/>
        <w:sz w:val="24"/>
        <w:szCs w:val="24"/>
        <w:lang w:val="en-US" w:eastAsia="en-US" w:bidi="ar-SA"/>
      </w:rPr>
    </w:lvl>
    <w:lvl w:ilvl="2" w:tplc="04FC7732">
      <w:numFmt w:val="bullet"/>
      <w:lvlText w:val=""/>
      <w:lvlJc w:val="left"/>
      <w:pPr>
        <w:ind w:left="1871" w:hanging="360"/>
      </w:pPr>
      <w:rPr>
        <w:rFonts w:ascii="Wingdings" w:eastAsia="Wingdings" w:hAnsi="Wingdings" w:cs="Wingdings" w:hint="default"/>
        <w:w w:val="100"/>
        <w:sz w:val="24"/>
        <w:szCs w:val="24"/>
        <w:lang w:val="en-US" w:eastAsia="en-US" w:bidi="ar-SA"/>
      </w:rPr>
    </w:lvl>
    <w:lvl w:ilvl="3" w:tplc="225A36CA">
      <w:numFmt w:val="bullet"/>
      <w:lvlText w:val="•"/>
      <w:lvlJc w:val="left"/>
      <w:pPr>
        <w:ind w:left="1880" w:hanging="360"/>
      </w:pPr>
      <w:rPr>
        <w:rFonts w:hint="default"/>
        <w:lang w:val="en-US" w:eastAsia="en-US" w:bidi="ar-SA"/>
      </w:rPr>
    </w:lvl>
    <w:lvl w:ilvl="4" w:tplc="34503694">
      <w:numFmt w:val="bullet"/>
      <w:lvlText w:val="•"/>
      <w:lvlJc w:val="left"/>
      <w:pPr>
        <w:ind w:left="3148" w:hanging="360"/>
      </w:pPr>
      <w:rPr>
        <w:rFonts w:hint="default"/>
        <w:lang w:val="en-US" w:eastAsia="en-US" w:bidi="ar-SA"/>
      </w:rPr>
    </w:lvl>
    <w:lvl w:ilvl="5" w:tplc="2EFE3592">
      <w:numFmt w:val="bullet"/>
      <w:lvlText w:val="•"/>
      <w:lvlJc w:val="left"/>
      <w:pPr>
        <w:ind w:left="4417" w:hanging="360"/>
      </w:pPr>
      <w:rPr>
        <w:rFonts w:hint="default"/>
        <w:lang w:val="en-US" w:eastAsia="en-US" w:bidi="ar-SA"/>
      </w:rPr>
    </w:lvl>
    <w:lvl w:ilvl="6" w:tplc="7CC04D16">
      <w:numFmt w:val="bullet"/>
      <w:lvlText w:val="•"/>
      <w:lvlJc w:val="left"/>
      <w:pPr>
        <w:ind w:left="5685" w:hanging="360"/>
      </w:pPr>
      <w:rPr>
        <w:rFonts w:hint="default"/>
        <w:lang w:val="en-US" w:eastAsia="en-US" w:bidi="ar-SA"/>
      </w:rPr>
    </w:lvl>
    <w:lvl w:ilvl="7" w:tplc="DE260024">
      <w:numFmt w:val="bullet"/>
      <w:lvlText w:val="•"/>
      <w:lvlJc w:val="left"/>
      <w:pPr>
        <w:ind w:left="6954" w:hanging="360"/>
      </w:pPr>
      <w:rPr>
        <w:rFonts w:hint="default"/>
        <w:lang w:val="en-US" w:eastAsia="en-US" w:bidi="ar-SA"/>
      </w:rPr>
    </w:lvl>
    <w:lvl w:ilvl="8" w:tplc="A69089DC">
      <w:numFmt w:val="bullet"/>
      <w:lvlText w:val="•"/>
      <w:lvlJc w:val="left"/>
      <w:pPr>
        <w:ind w:left="822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38"/>
    <w:rsid w:val="0059198A"/>
    <w:rsid w:val="00A6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91674-D776-4941-8784-36E3E46D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91" w:lineRule="exact"/>
      <w:ind w:left="70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
      <w:ind w:left="700" w:hanging="360"/>
    </w:pPr>
  </w:style>
  <w:style w:type="paragraph" w:customStyle="1" w:styleId="TableParagraph">
    <w:name w:val="Table Paragraph"/>
    <w:basedOn w:val="Normal"/>
    <w:uiPriority w:val="1"/>
    <w:qFormat/>
    <w:pPr>
      <w:ind w:left="1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bpmediarelations@cbp.d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BAGAN, ANN M (CTR)</dc:creator>
  <cp:lastModifiedBy>Farley, Robert</cp:lastModifiedBy>
  <cp:revision>2</cp:revision>
  <dcterms:created xsi:type="dcterms:W3CDTF">2020-10-20T21:40:00Z</dcterms:created>
  <dcterms:modified xsi:type="dcterms:W3CDTF">2020-10-20T21:40:00Z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Acrobat PDFMaker 17 for Word</vt:lpwstr>
  </property>
  <property fmtid="{D5CDD505-2E9C-101B-9397-08002B2CF9AE}" pid="4" name="LastSaved">
    <vt:filetime>2020-10-20T00:00:00Z</vt:filetime>
  </property>
</Properties>
</file>